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271" w:rsidRPr="004D3555" w:rsidRDefault="00166271" w:rsidP="00166271">
      <w:pPr>
        <w:pBdr>
          <w:bottom w:val="single" w:sz="4" w:space="1" w:color="auto"/>
        </w:pBdr>
        <w:rPr>
          <w:b/>
          <w:sz w:val="28"/>
          <w:szCs w:val="28"/>
        </w:rPr>
      </w:pPr>
      <w:r w:rsidRPr="004D3555">
        <w:rPr>
          <w:lang w:eastAsia="bg-BG"/>
        </w:rPr>
        <w:drawing>
          <wp:anchor distT="0" distB="0" distL="114300" distR="114300" simplePos="0" relativeHeight="251659264" behindDoc="0" locked="0" layoutInCell="1" allowOverlap="1" wp14:anchorId="14C47B27" wp14:editId="50B54941">
            <wp:simplePos x="0" y="0"/>
            <wp:positionH relativeFrom="column">
              <wp:posOffset>3829050</wp:posOffset>
            </wp:positionH>
            <wp:positionV relativeFrom="paragraph">
              <wp:posOffset>16510</wp:posOffset>
            </wp:positionV>
            <wp:extent cx="2162810" cy="747395"/>
            <wp:effectExtent l="0" t="0" r="889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81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D3555">
        <w:rPr>
          <w:lang w:eastAsia="bg-BG"/>
        </w:rPr>
        <w:drawing>
          <wp:inline distT="0" distB="0" distL="0" distR="0" wp14:anchorId="55C82465" wp14:editId="7A29121A">
            <wp:extent cx="2209800" cy="7696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6271" w:rsidRPr="004D3555" w:rsidRDefault="00166271" w:rsidP="00706218">
      <w:pPr>
        <w:spacing w:after="0" w:line="240" w:lineRule="auto"/>
        <w:ind w:left="284" w:right="2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66271" w:rsidRPr="004D3555" w:rsidRDefault="00166271" w:rsidP="00064FD6">
      <w:pPr>
        <w:spacing w:before="120" w:after="12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555">
        <w:rPr>
          <w:rFonts w:ascii="Times New Roman" w:hAnsi="Times New Roman"/>
          <w:b/>
          <w:sz w:val="28"/>
          <w:szCs w:val="28"/>
        </w:rPr>
        <w:t>О Б О С Н О В К А</w:t>
      </w:r>
    </w:p>
    <w:p w:rsidR="004D3555" w:rsidRPr="004D3555" w:rsidRDefault="00166271" w:rsidP="004D3555">
      <w:pPr>
        <w:numPr>
          <w:ilvl w:val="0"/>
          <w:numId w:val="12"/>
        </w:numPr>
        <w:spacing w:before="24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4D3555">
        <w:rPr>
          <w:rFonts w:ascii="Times New Roman" w:hAnsi="Times New Roman"/>
          <w:b/>
          <w:i/>
          <w:sz w:val="24"/>
          <w:szCs w:val="24"/>
        </w:rPr>
        <w:t>Относно:</w:t>
      </w:r>
      <w:r w:rsidR="00353662" w:rsidRPr="004D3555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4D3555" w:rsidRPr="004D3555">
        <w:rPr>
          <w:rFonts w:ascii="Times New Roman" w:hAnsi="Times New Roman"/>
          <w:i/>
          <w:sz w:val="24"/>
          <w:szCs w:val="24"/>
        </w:rPr>
        <w:t xml:space="preserve">Предложение за одобряване </w:t>
      </w:r>
      <w:r w:rsidR="000D7544" w:rsidRPr="004D3555">
        <w:rPr>
          <w:rFonts w:ascii="Times New Roman" w:hAnsi="Times New Roman"/>
          <w:i/>
          <w:sz w:val="24"/>
          <w:szCs w:val="24"/>
        </w:rPr>
        <w:t>н</w:t>
      </w:r>
      <w:r w:rsidRPr="004D3555">
        <w:rPr>
          <w:rFonts w:ascii="Times New Roman" w:hAnsi="Times New Roman"/>
          <w:i/>
          <w:sz w:val="24"/>
          <w:szCs w:val="24"/>
        </w:rPr>
        <w:t xml:space="preserve">а </w:t>
      </w:r>
      <w:r w:rsidR="004D3555" w:rsidRPr="004D3555">
        <w:rPr>
          <w:rFonts w:ascii="Times New Roman" w:hAnsi="Times New Roman"/>
          <w:i/>
          <w:sz w:val="24"/>
          <w:szCs w:val="24"/>
        </w:rPr>
        <w:t>методология и критерии за подбор на операции по процедура „Регионална здравна инфрас</w:t>
      </w:r>
      <w:r w:rsidR="004D3555">
        <w:rPr>
          <w:rFonts w:ascii="Times New Roman" w:hAnsi="Times New Roman"/>
          <w:i/>
          <w:sz w:val="24"/>
          <w:szCs w:val="24"/>
        </w:rPr>
        <w:t>труктура“ по Приоритетна ос 4 „</w:t>
      </w:r>
      <w:r w:rsidR="004D3555" w:rsidRPr="004D3555">
        <w:rPr>
          <w:rFonts w:ascii="Times New Roman" w:hAnsi="Times New Roman"/>
          <w:i/>
          <w:sz w:val="24"/>
          <w:szCs w:val="24"/>
        </w:rPr>
        <w:t>Регионална здравна инфраструктура“ на ОП „Региони в растеж“ 2014-2020</w:t>
      </w:r>
    </w:p>
    <w:p w:rsidR="00353662" w:rsidRPr="004D3555" w:rsidRDefault="004E38AA" w:rsidP="00550EE4">
      <w:pPr>
        <w:spacing w:before="240" w:line="36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ab/>
      </w:r>
    </w:p>
    <w:p w:rsidR="00E9490A" w:rsidRPr="004D3555" w:rsidRDefault="00353662" w:rsidP="00064FD6">
      <w:pPr>
        <w:tabs>
          <w:tab w:val="num" w:pos="720"/>
        </w:tabs>
        <w:spacing w:before="120" w:after="12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ab/>
      </w:r>
      <w:r w:rsidR="00616174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Критериите </w:t>
      </w:r>
      <w:r w:rsidR="006123E2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по </w:t>
      </w:r>
      <w:r w:rsidR="00922E3B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процедура BG16RFOP001-4.001 „Регионална здравна инфраструктура“ </w:t>
      </w:r>
      <w:r w:rsidR="006E1ECE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по</w:t>
      </w:r>
      <w:r w:rsidR="00922E3B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</w:t>
      </w:r>
      <w:r w:rsidR="006123E2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приоритетна ос </w:t>
      </w:r>
      <w:r w:rsidR="00922E3B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4</w:t>
      </w:r>
      <w:r w:rsidR="006123E2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на </w:t>
      </w:r>
      <w:r w:rsidR="00922E3B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ОПРР</w:t>
      </w:r>
      <w:r w:rsidR="006123E2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2014-2020 </w:t>
      </w:r>
      <w:r w:rsidR="00E9490A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се</w:t>
      </w:r>
      <w:r w:rsidR="00616174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предл</w:t>
      </w:r>
      <w:r w:rsidR="00E9490A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агат </w:t>
      </w:r>
      <w:r w:rsidR="00616174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в изпълнение на </w:t>
      </w:r>
      <w:r w:rsidR="00886B73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Индикативната годишна работна програма </w:t>
      </w:r>
      <w:r w:rsidR="00616174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на ОПРР за 2017 г. </w:t>
      </w:r>
      <w:r w:rsidR="00E9490A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и по-конкретно</w:t>
      </w:r>
      <w:r w:rsidR="000D7544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,</w:t>
      </w:r>
      <w:r w:rsidR="00E9490A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предвидената за </w:t>
      </w:r>
      <w:r w:rsidR="0028521C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обявяване през </w:t>
      </w:r>
      <w:r w:rsidR="00E9490A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месец декември 2017 г. процедура на директно предоставяне на безвъ</w:t>
      </w:r>
      <w:bookmarkStart w:id="0" w:name="_GoBack"/>
      <w:bookmarkEnd w:id="0"/>
      <w:r w:rsidR="00E9490A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змездна финансова помощ (БФП) с </w:t>
      </w:r>
      <w:r w:rsidR="000D7544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общ </w:t>
      </w:r>
      <w:r w:rsidR="00E9490A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бюджет 163 502 132,68 лева.</w:t>
      </w:r>
      <w:r w:rsidR="00E9490A" w:rsidRPr="004D3555">
        <w:t xml:space="preserve"> </w:t>
      </w:r>
      <w:r w:rsidR="00E9490A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Тъй като общият ресурс </w:t>
      </w:r>
      <w:r w:rsidR="000D7544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по процедурата </w:t>
      </w:r>
      <w:r w:rsidR="00E9490A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е над 50 млн. евро и вземайки предвид факта, че </w:t>
      </w:r>
      <w:r w:rsidR="000D7544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има един </w:t>
      </w:r>
      <w:r w:rsidR="00E9490A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конкретен бенефициент </w:t>
      </w:r>
      <w:r w:rsidR="000D7544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- Министерство</w:t>
      </w:r>
      <w:r w:rsidR="0028521C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то</w:t>
      </w:r>
      <w:r w:rsidR="00E9490A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на здравеопазването, се предвижда модернизацията на системата за спешна медицинска помощ </w:t>
      </w:r>
      <w:r w:rsidR="004B4E81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(СМП) </w:t>
      </w:r>
      <w:r w:rsidR="00E9490A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да се изпълни с един голям проект в съответствие с член 100 от Регламент (ЕС) № 1303/2013. </w:t>
      </w:r>
      <w:r w:rsidR="000D7544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Целите </w:t>
      </w:r>
      <w:r w:rsidR="00DB21E6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на процедурата </w:t>
      </w:r>
      <w:r w:rsidR="000D7544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са</w:t>
      </w:r>
      <w:r w:rsidR="00DB21E6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да се подобри достъпът до спешна медицинска помощ, с възможности за спешна диагностика, лечение и наблюдение до 24 ч., както и </w:t>
      </w:r>
      <w:r w:rsidR="000D7544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да се </w:t>
      </w:r>
      <w:r w:rsidR="00DB21E6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намал</w:t>
      </w:r>
      <w:r w:rsidR="000D7544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и</w:t>
      </w:r>
      <w:r w:rsidR="00DB21E6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броя</w:t>
      </w:r>
      <w:r w:rsidR="000D7544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т</w:t>
      </w:r>
      <w:r w:rsidR="00DB21E6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хоспитализации в здравната система.</w:t>
      </w:r>
    </w:p>
    <w:p w:rsidR="00886B73" w:rsidRPr="004D3555" w:rsidRDefault="00855F17" w:rsidP="00064FD6">
      <w:pPr>
        <w:tabs>
          <w:tab w:val="num" w:pos="720"/>
        </w:tabs>
        <w:spacing w:before="120" w:after="120" w:line="36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</w:pPr>
      <w:r w:rsidRPr="004D3555"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  <w:tab/>
      </w:r>
      <w:r w:rsidR="00807C32" w:rsidRPr="004D3555"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  <w:t>Оценката на проектното предложение се извършва от УО на един етап и се документира чрез попълване на общ контролен лист, който включва всички приложими критерии.</w:t>
      </w:r>
      <w:r w:rsidR="00A61A5A" w:rsidRPr="004D3555"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  <w:t xml:space="preserve"> </w:t>
      </w:r>
      <w:r w:rsidR="00807C32" w:rsidRPr="004D3555"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  <w:t xml:space="preserve">За критериите </w:t>
      </w:r>
      <w:r w:rsidR="00A61A5A" w:rsidRPr="004D3555"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  <w:t>е предвидено оценяване с „да/не/неприложимо“, предвид че няма да има конкурентен подбор при предоставянето</w:t>
      </w:r>
      <w:r w:rsidR="00003FF0" w:rsidRPr="004D3555"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  <w:t xml:space="preserve"> на БФП</w:t>
      </w:r>
      <w:r w:rsidR="00A61A5A" w:rsidRPr="004D3555"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  <w:t>. Една част от критериите са свързани с оказваната техническа помощ при подготовката на проектното предложение чрез инструмента Jaspers на ЕК, а именно –</w:t>
      </w:r>
      <w:r w:rsidR="00003FF0" w:rsidRPr="004D3555"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  <w:t xml:space="preserve"> </w:t>
      </w:r>
      <w:r w:rsidR="00A61A5A" w:rsidRPr="004D3555"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  <w:t>наличие</w:t>
      </w:r>
      <w:r w:rsidR="00003FF0" w:rsidRPr="004D3555"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  <w:t>то</w:t>
      </w:r>
      <w:r w:rsidR="00A61A5A" w:rsidRPr="004D3555"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  <w:t xml:space="preserve"> на заключително становище</w:t>
      </w:r>
      <w:r w:rsidR="004B4E81" w:rsidRPr="004D3555"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  <w:t xml:space="preserve"> </w:t>
      </w:r>
      <w:r w:rsidR="00A61A5A" w:rsidRPr="004D3555"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  <w:t xml:space="preserve">и обобщено представяне на получените </w:t>
      </w:r>
      <w:r w:rsidR="004B4E81" w:rsidRPr="004D3555"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  <w:t xml:space="preserve">от Jaspers </w:t>
      </w:r>
      <w:r w:rsidR="00A61A5A" w:rsidRPr="004D3555"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  <w:t>коментари</w:t>
      </w:r>
      <w:r w:rsidR="00003FF0" w:rsidRPr="004D3555"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  <w:t>, както</w:t>
      </w:r>
      <w:r w:rsidR="00A61A5A" w:rsidRPr="004D3555"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  <w:t xml:space="preserve"> и </w:t>
      </w:r>
      <w:r w:rsidR="00003FF0" w:rsidRPr="004D3555"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  <w:t xml:space="preserve">на </w:t>
      </w:r>
      <w:r w:rsidR="00A61A5A" w:rsidRPr="004D3555"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  <w:t xml:space="preserve">начина на отразяването им </w:t>
      </w:r>
      <w:r w:rsidR="00003FF0" w:rsidRPr="004D3555"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  <w:t xml:space="preserve">от бенефициента </w:t>
      </w:r>
      <w:r w:rsidR="00A61A5A" w:rsidRPr="004D3555"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  <w:t>преди подаване на проектното предложение чрез ИСУ</w:t>
      </w:r>
      <w:r w:rsidR="00003FF0" w:rsidRPr="004D3555"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  <w:t>Н</w:t>
      </w:r>
      <w:r w:rsidR="00A61A5A" w:rsidRPr="004D3555"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  <w:t xml:space="preserve"> 2020. </w:t>
      </w:r>
      <w:r w:rsidR="004B4E81" w:rsidRPr="004D3555"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  <w:t xml:space="preserve"> </w:t>
      </w:r>
      <w:r w:rsidR="0028521C" w:rsidRPr="004D3555"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  <w:t xml:space="preserve"> </w:t>
      </w:r>
    </w:p>
    <w:p w:rsidR="00753CFB" w:rsidRPr="004D3555" w:rsidRDefault="00A61A5A" w:rsidP="00886B73">
      <w:pPr>
        <w:tabs>
          <w:tab w:val="num" w:pos="720"/>
        </w:tabs>
        <w:spacing w:before="120" w:after="12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4D3555"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  <w:t>Друга част от критерии</w:t>
      </w:r>
      <w:r w:rsidR="00807C32" w:rsidRPr="004D3555"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  <w:t>те</w:t>
      </w:r>
      <w:r w:rsidRPr="004D3555"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  <w:t xml:space="preserve"> са продиктувани от </w:t>
      </w:r>
      <w:r w:rsidR="001D166A" w:rsidRPr="004D3555"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  <w:t>разпоредбите</w:t>
      </w:r>
      <w:r w:rsidR="00682AAB" w:rsidRPr="004D3555">
        <w:rPr>
          <w:rFonts w:ascii="Times New Roman" w:eastAsia="Times New Roman" w:hAnsi="Times New Roman"/>
          <w:bCs/>
          <w:iCs/>
          <w:sz w:val="24"/>
          <w:szCs w:val="24"/>
          <w:lang w:eastAsia="bg-BG" w:bidi="bg-BG"/>
        </w:rPr>
        <w:t xml:space="preserve"> на </w:t>
      </w:r>
      <w:r w:rsidR="00003FF0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Глава II</w:t>
      </w:r>
      <w:r w:rsidR="00682AAB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от Регламент (ЕС) № 1303/2013 относно </w:t>
      </w:r>
      <w:r w:rsidR="001D166A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г</w:t>
      </w:r>
      <w:r w:rsidR="00682AAB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олям проект</w:t>
      </w:r>
      <w:r w:rsidR="001D166A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, където е посочена минималната информация, която </w:t>
      </w:r>
      <w:r w:rsidR="004B4E81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е необходима</w:t>
      </w:r>
      <w:r w:rsidR="001D166A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за оценката, както и </w:t>
      </w:r>
      <w:r w:rsidR="00886B73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от</w:t>
      </w:r>
      <w:r w:rsidR="001D166A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</w:t>
      </w:r>
      <w:r w:rsidR="003D385F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Приложение II от Регламент 2015/207 на Комисията от 20 </w:t>
      </w:r>
      <w:r w:rsidR="003D385F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lastRenderedPageBreak/>
        <w:t>януари 2015 г.</w:t>
      </w:r>
      <w:r w:rsidR="001D166A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, </w:t>
      </w:r>
      <w:r w:rsidR="003D385F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съдържащо</w:t>
      </w:r>
      <w:r w:rsidR="001D166A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формата, в който информацията следва да бъде представена</w:t>
      </w:r>
      <w:r w:rsidR="00352AB6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. Проверява се</w:t>
      </w:r>
      <w:r w:rsidR="00886B73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наличието </w:t>
      </w:r>
      <w:r w:rsidR="00352AB6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на задължителните документи, които се подават към </w:t>
      </w:r>
      <w:r w:rsidR="00753CFB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големия</w:t>
      </w:r>
      <w:r w:rsidR="00352AB6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проект – анализ-разходи ползи, предпроектно проучване</w:t>
      </w:r>
      <w:r w:rsidR="00886B73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</w:t>
      </w:r>
      <w:r w:rsidR="00352AB6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и др</w:t>
      </w:r>
      <w:r w:rsidR="00753CFB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.</w:t>
      </w:r>
      <w:r w:rsidR="00886B73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, както и съответствието им</w:t>
      </w:r>
      <w:r w:rsidR="00753CFB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с указанията на ЕК относно съ</w:t>
      </w:r>
      <w:r w:rsidR="00352AB6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държанието и методологията за изготвянето им. </w:t>
      </w:r>
    </w:p>
    <w:p w:rsidR="00753CFB" w:rsidRPr="004D3555" w:rsidRDefault="00512A54" w:rsidP="00753CFB">
      <w:pPr>
        <w:tabs>
          <w:tab w:val="num" w:pos="720"/>
        </w:tabs>
        <w:spacing w:before="120" w:after="12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С </w:t>
      </w:r>
      <w:r w:rsidR="00807C32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оглед проверка на</w:t>
      </w:r>
      <w:r w:rsidR="00352AB6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допустимост</w:t>
      </w:r>
      <w:r w:rsidR="00807C32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та на проектното предложение</w:t>
      </w:r>
      <w:r w:rsidR="00352AB6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са заложени изисквания</w:t>
      </w:r>
      <w:r w:rsidR="00753CFB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, произтичащи от нормативната уредба</w:t>
      </w:r>
      <w:r w:rsidR="00886B73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,</w:t>
      </w:r>
      <w:r w:rsidR="00753CFB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като</w:t>
      </w:r>
      <w:r w:rsidR="00352AB6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осигуряване на устойчивост на инвестициите, липса на двойно финансиране, </w:t>
      </w:r>
      <w:r w:rsidR="00753CFB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допустимост на разходите и дейностите, физическа незавършеност на проекта, предвидени информационни мерки и публичност на проекта, </w:t>
      </w:r>
      <w:r w:rsidR="00352AB6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оценка на </w:t>
      </w:r>
      <w:r w:rsidR="00753CFB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административния, оперативния и финансов капацитет на бенефициента.</w:t>
      </w:r>
      <w:r w:rsidR="001D166A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</w:t>
      </w:r>
      <w:r w:rsidR="00DD2CFA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Във връзка с</w:t>
      </w:r>
      <w:r w:rsidR="007E5C55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</w:t>
      </w:r>
      <w:r w:rsidR="00DD2CFA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утвърждаването</w:t>
      </w:r>
      <w:r w:rsidR="007E5C55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на новия медицински стандарт „Спешна медицина”</w:t>
      </w:r>
      <w:r w:rsidR="00DD2CFA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през </w:t>
      </w:r>
      <w:r w:rsidR="004B4E81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2017 г.</w:t>
      </w:r>
      <w:r w:rsidR="00DD2CFA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,</w:t>
      </w:r>
      <w:r w:rsidR="007E5C55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е въведен критерий за съответствие на проектните дейности с изисквания</w:t>
      </w:r>
      <w:r w:rsidR="004B4E81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та на стандарта</w:t>
      </w:r>
      <w:r w:rsidR="007E5C55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.</w:t>
      </w:r>
    </w:p>
    <w:p w:rsidR="00682AAB" w:rsidRPr="004D3555" w:rsidRDefault="003D385F" w:rsidP="00753CFB">
      <w:pPr>
        <w:tabs>
          <w:tab w:val="num" w:pos="720"/>
        </w:tabs>
        <w:spacing w:before="120" w:after="12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Предвид </w:t>
      </w:r>
      <w:r w:rsidR="00A61A5A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функционалните възможности на ИСУН</w:t>
      </w:r>
      <w:r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2020 и липсата на стандарт</w:t>
      </w:r>
      <w:r w:rsidR="004B4E81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изирана</w:t>
      </w:r>
      <w:r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процедура за кандидатстване с голям проект</w:t>
      </w:r>
      <w:r w:rsidR="004B4E81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, в настоящия проект</w:t>
      </w:r>
      <w:r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са включени и критерии за проверка за съответствие на информацията, попълнена в информационната система </w:t>
      </w:r>
      <w:r w:rsidR="004B4E81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с информацията</w:t>
      </w:r>
      <w:r w:rsidR="00886B73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</w:t>
      </w:r>
      <w:r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в хартиения формуляр. </w:t>
      </w:r>
      <w:r w:rsidR="0028521C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Формулирани</w:t>
      </w:r>
      <w:r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са критерии, които удостоверяват степента на проектна готовност и </w:t>
      </w:r>
      <w:r w:rsidR="007F15F5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съответствието на разходите от инвестиционните проекти с финансовия анализ и бюджета на проекта.</w:t>
      </w:r>
    </w:p>
    <w:p w:rsidR="00512A54" w:rsidRPr="004D3555" w:rsidRDefault="00512A54" w:rsidP="00753CFB">
      <w:pPr>
        <w:tabs>
          <w:tab w:val="num" w:pos="720"/>
        </w:tabs>
        <w:spacing w:before="120" w:after="12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За да бъде осигурено</w:t>
      </w:r>
      <w:r w:rsidR="00753CFB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качеството на големия проект,</w:t>
      </w:r>
      <w:r w:rsidR="00B226AF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са </w:t>
      </w:r>
      <w:r w:rsidR="005775F9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включе</w:t>
      </w:r>
      <w:r w:rsidR="00B226AF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ни</w:t>
      </w:r>
      <w:r w:rsidR="005775F9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проверки относно</w:t>
      </w:r>
      <w:r w:rsidR="00855F17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:</w:t>
      </w:r>
    </w:p>
    <w:p w:rsidR="00512A54" w:rsidRPr="004D3555" w:rsidRDefault="00512A54" w:rsidP="00512A54">
      <w:pPr>
        <w:pStyle w:val="ListParagraph"/>
        <w:numPr>
          <w:ilvl w:val="0"/>
          <w:numId w:val="11"/>
        </w:numPr>
        <w:spacing w:before="120" w:after="12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изпълнение на хоризонталните политики на ЕО (политиките на равните възможности – недопускане на дискриминация, равенство между половете, хора с увреждания, етнически малцинства и др.; принцип за устойчиво развитие </w:t>
      </w:r>
    </w:p>
    <w:p w:rsidR="00512A54" w:rsidRPr="004D3555" w:rsidRDefault="00753CFB" w:rsidP="00512A54">
      <w:pPr>
        <w:pStyle w:val="ListParagraph"/>
        <w:numPr>
          <w:ilvl w:val="0"/>
          <w:numId w:val="11"/>
        </w:numPr>
        <w:spacing w:before="120" w:after="12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нал</w:t>
      </w:r>
      <w:r w:rsidR="007E5C55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и</w:t>
      </w:r>
      <w:r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чие</w:t>
      </w:r>
      <w:r w:rsidR="007F15F5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то</w:t>
      </w:r>
      <w:r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на подходяща организационна структура за управление на проекта;</w:t>
      </w:r>
    </w:p>
    <w:p w:rsidR="00512A54" w:rsidRPr="004D3555" w:rsidRDefault="00753CFB" w:rsidP="00512A54">
      <w:pPr>
        <w:pStyle w:val="ListParagraph"/>
        <w:numPr>
          <w:ilvl w:val="0"/>
          <w:numId w:val="11"/>
        </w:numPr>
        <w:spacing w:before="120" w:after="12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bg-BG" w:bidi="bg-BG"/>
        </w:rPr>
      </w:pPr>
      <w:r w:rsidRPr="004D3555">
        <w:rPr>
          <w:rFonts w:ascii="Times New Roman" w:eastAsia="Times New Roman" w:hAnsi="Times New Roman"/>
          <w:bCs/>
          <w:sz w:val="24"/>
          <w:szCs w:val="24"/>
          <w:lang w:eastAsia="bg-BG" w:bidi="bg-BG"/>
        </w:rPr>
        <w:t>финансова обосновка на проектните дейности за реалистичност и съответствие с пазарните цени</w:t>
      </w:r>
      <w:r w:rsidR="00855F17" w:rsidRPr="004D3555">
        <w:rPr>
          <w:rFonts w:ascii="Times New Roman" w:eastAsia="Times New Roman" w:hAnsi="Times New Roman"/>
          <w:bCs/>
          <w:sz w:val="24"/>
          <w:szCs w:val="24"/>
          <w:lang w:eastAsia="bg-BG" w:bidi="bg-BG"/>
        </w:rPr>
        <w:t>;</w:t>
      </w:r>
      <w:r w:rsidR="00DD2CFA" w:rsidRPr="004D3555">
        <w:rPr>
          <w:rFonts w:ascii="Times New Roman" w:eastAsia="Times New Roman" w:hAnsi="Times New Roman"/>
          <w:bCs/>
          <w:sz w:val="24"/>
          <w:szCs w:val="24"/>
          <w:lang w:eastAsia="bg-BG" w:bidi="bg-BG"/>
        </w:rPr>
        <w:t xml:space="preserve"> </w:t>
      </w:r>
    </w:p>
    <w:p w:rsidR="00512A54" w:rsidRPr="004D3555" w:rsidRDefault="00DD2CFA" w:rsidP="00DE00C3">
      <w:pPr>
        <w:pStyle w:val="ListParagraph"/>
        <w:numPr>
          <w:ilvl w:val="0"/>
          <w:numId w:val="11"/>
        </w:numPr>
        <w:spacing w:before="120" w:after="12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bg-BG" w:bidi="bg-BG"/>
        </w:rPr>
      </w:pPr>
      <w:r w:rsidRPr="004D3555">
        <w:rPr>
          <w:rFonts w:ascii="Times New Roman" w:eastAsia="Times New Roman" w:hAnsi="Times New Roman"/>
          <w:bCs/>
          <w:sz w:val="24"/>
          <w:szCs w:val="24"/>
          <w:lang w:eastAsia="bg-BG" w:bidi="bg-BG"/>
        </w:rPr>
        <w:t xml:space="preserve">принос към постигане на целите и </w:t>
      </w:r>
      <w:r w:rsidR="00DE00C3" w:rsidRPr="004D3555">
        <w:rPr>
          <w:rFonts w:ascii="Times New Roman" w:eastAsia="Times New Roman" w:hAnsi="Times New Roman"/>
          <w:bCs/>
          <w:sz w:val="24"/>
          <w:szCs w:val="24"/>
          <w:lang w:eastAsia="bg-BG" w:bidi="bg-BG"/>
        </w:rPr>
        <w:t xml:space="preserve">индикаторите </w:t>
      </w:r>
      <w:r w:rsidRPr="004D3555">
        <w:rPr>
          <w:rFonts w:ascii="Times New Roman" w:eastAsia="Times New Roman" w:hAnsi="Times New Roman"/>
          <w:bCs/>
          <w:sz w:val="24"/>
          <w:szCs w:val="24"/>
          <w:lang w:eastAsia="bg-BG" w:bidi="bg-BG"/>
        </w:rPr>
        <w:t>на Приоритетна ос 4 на ОПРР 2014-2020 и Концепцията за развитие на системата за СМП в Република България и Националната здравна стратегия 2020</w:t>
      </w:r>
      <w:r w:rsidR="007F15F5" w:rsidRPr="004D3555">
        <w:rPr>
          <w:rFonts w:ascii="Times New Roman" w:eastAsia="Times New Roman" w:hAnsi="Times New Roman"/>
          <w:bCs/>
          <w:sz w:val="24"/>
          <w:szCs w:val="24"/>
          <w:lang w:eastAsia="bg-BG" w:bidi="bg-BG"/>
        </w:rPr>
        <w:t xml:space="preserve">; </w:t>
      </w:r>
      <w:r w:rsidR="00DE00C3" w:rsidRPr="004D3555">
        <w:rPr>
          <w:rFonts w:ascii="Times New Roman" w:eastAsia="Times New Roman" w:hAnsi="Times New Roman"/>
          <w:bCs/>
          <w:sz w:val="24"/>
          <w:szCs w:val="24"/>
          <w:lang w:eastAsia="bg-BG" w:bidi="bg-BG"/>
        </w:rPr>
        <w:t xml:space="preserve"> </w:t>
      </w:r>
    </w:p>
    <w:p w:rsidR="00855F17" w:rsidRPr="004D3555" w:rsidRDefault="007F15F5" w:rsidP="00512A54">
      <w:pPr>
        <w:pStyle w:val="ListParagraph"/>
        <w:numPr>
          <w:ilvl w:val="0"/>
          <w:numId w:val="11"/>
        </w:numPr>
        <w:spacing w:before="120" w:after="12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4D3555">
        <w:rPr>
          <w:rFonts w:ascii="Times New Roman" w:eastAsia="Times New Roman" w:hAnsi="Times New Roman"/>
          <w:bCs/>
          <w:sz w:val="24"/>
          <w:szCs w:val="24"/>
          <w:lang w:eastAsia="bg-BG" w:bidi="bg-BG"/>
        </w:rPr>
        <w:t>предвиждане на основните рискове, които може да застрашат изпълнението на проекта, както и на подходящи мерки за управлението им.</w:t>
      </w:r>
    </w:p>
    <w:p w:rsidR="00B41CCC" w:rsidRPr="004D3555" w:rsidRDefault="00B41CCC" w:rsidP="004D3555">
      <w:pPr>
        <w:spacing w:before="120" w:after="12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Следва да бъде постигнато пълно съответствие с критериите, т.е. за да бъде одобрено проектното предложение, оценителите следва да са поставили оценка „Да“ на всички приложими критерии (и съответно оценка „Неприложимо“ на не</w:t>
      </w:r>
      <w:r w:rsidR="00BC19DE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приложимите критерии). В </w:t>
      </w:r>
      <w:r w:rsidR="00BC19DE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lastRenderedPageBreak/>
        <w:t>случай</w:t>
      </w:r>
      <w:r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че на даден приложим критерий бъде поставена оценка „Не“, проектното предложение трябва да се върне за отстраняване на нередовности, непълноти и/или несъответствия. </w:t>
      </w:r>
    </w:p>
    <w:p w:rsidR="00B41CCC" w:rsidRPr="004D3555" w:rsidRDefault="00B41CCC" w:rsidP="004D3555">
      <w:pPr>
        <w:spacing w:before="120" w:after="12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При изготвяне на Насоките за кандидатстване ще бъдат дадени конкретни указания по отношение на начина на извършване на оценката на проектното предложение - какво следва да се проверява и/или към какви документи се реферира, за да се даде положително становище за всеки един от критериите за оценка.  </w:t>
      </w:r>
    </w:p>
    <w:p w:rsidR="00B41CCC" w:rsidRPr="004D3555" w:rsidRDefault="002D174B" w:rsidP="004D3555">
      <w:pPr>
        <w:spacing w:before="120" w:after="12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След </w:t>
      </w:r>
      <w:r w:rsidR="00B41CCC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одобрение от страна на УО и при </w:t>
      </w:r>
      <w:r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наличието</w:t>
      </w:r>
      <w:r w:rsidR="00B41CCC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на положителен резултат от извършения преглед на качеството от независимите експерти</w:t>
      </w:r>
      <w:r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</w:t>
      </w:r>
      <w:r w:rsidR="00BC19DE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на ЕК </w:t>
      </w:r>
      <w:r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УО нотифицира Комисията за избрания голям проект </w:t>
      </w:r>
      <w:r w:rsidR="00BC19DE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с оглед</w:t>
      </w:r>
      <w:r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</w:t>
      </w:r>
      <w:r w:rsidR="00BC19DE"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одобрение</w:t>
      </w:r>
      <w:r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на финансовия принос за избрания голям проект</w:t>
      </w:r>
      <w:r w:rsidRPr="004D3555">
        <w:t xml:space="preserve"> </w:t>
      </w:r>
      <w:r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съгласно чл. 102 от</w:t>
      </w:r>
      <w:r w:rsidRPr="004D3555">
        <w:t xml:space="preserve"> </w:t>
      </w:r>
      <w:r w:rsidRPr="004D3555">
        <w:rPr>
          <w:rFonts w:ascii="Times New Roman" w:eastAsia="Times New Roman" w:hAnsi="Times New Roman"/>
          <w:bCs/>
          <w:sz w:val="24"/>
          <w:szCs w:val="24"/>
          <w:lang w:eastAsia="bg-BG"/>
        </w:rPr>
        <w:t>Регламент (ЕС) № 1303/2013.</w:t>
      </w:r>
    </w:p>
    <w:sectPr w:rsidR="00B41CCC" w:rsidRPr="004D3555" w:rsidSect="00352AB6">
      <w:footerReference w:type="default" r:id="rId11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92E" w:rsidRDefault="000D792E" w:rsidP="000D77D6">
      <w:pPr>
        <w:spacing w:after="0" w:line="240" w:lineRule="auto"/>
      </w:pPr>
      <w:r>
        <w:separator/>
      </w:r>
    </w:p>
  </w:endnote>
  <w:endnote w:type="continuationSeparator" w:id="0">
    <w:p w:rsidR="000D792E" w:rsidRDefault="000D792E" w:rsidP="000D7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480426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77D6" w:rsidRDefault="000D77D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355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D77D6" w:rsidRDefault="000D77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92E" w:rsidRDefault="000D792E" w:rsidP="000D77D6">
      <w:pPr>
        <w:spacing w:after="0" w:line="240" w:lineRule="auto"/>
      </w:pPr>
      <w:r>
        <w:separator/>
      </w:r>
    </w:p>
  </w:footnote>
  <w:footnote w:type="continuationSeparator" w:id="0">
    <w:p w:rsidR="000D792E" w:rsidRDefault="000D792E" w:rsidP="000D77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A36F8"/>
    <w:multiLevelType w:val="hybridMultilevel"/>
    <w:tmpl w:val="EC62F9A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A60375"/>
    <w:multiLevelType w:val="hybridMultilevel"/>
    <w:tmpl w:val="A3BE28D8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B9E1892"/>
    <w:multiLevelType w:val="hybridMultilevel"/>
    <w:tmpl w:val="DEA4FB5C"/>
    <w:lvl w:ilvl="0" w:tplc="4BE61B26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35820B65"/>
    <w:multiLevelType w:val="multilevel"/>
    <w:tmpl w:val="BBB8193E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92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64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36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08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80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52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24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969" w:hanging="360"/>
      </w:pPr>
      <w:rPr>
        <w:rFonts w:ascii="Wingdings" w:hAnsi="Wingdings"/>
      </w:rPr>
    </w:lvl>
  </w:abstractNum>
  <w:abstractNum w:abstractNumId="4">
    <w:nsid w:val="3DBE59EC"/>
    <w:multiLevelType w:val="hybridMultilevel"/>
    <w:tmpl w:val="12BAB922"/>
    <w:lvl w:ilvl="0" w:tplc="37A41416">
      <w:start w:val="1"/>
      <w:numFmt w:val="bullet"/>
      <w:lvlText w:val="−"/>
      <w:lvlJc w:val="left"/>
      <w:pPr>
        <w:ind w:left="654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5">
    <w:nsid w:val="3FA6784B"/>
    <w:multiLevelType w:val="hybridMultilevel"/>
    <w:tmpl w:val="FC92381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D76869"/>
    <w:multiLevelType w:val="hybridMultilevel"/>
    <w:tmpl w:val="B99E565A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B730CCE"/>
    <w:multiLevelType w:val="hybridMultilevel"/>
    <w:tmpl w:val="F698F0C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805EE7"/>
    <w:multiLevelType w:val="hybridMultilevel"/>
    <w:tmpl w:val="24C615B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32781E"/>
    <w:multiLevelType w:val="hybridMultilevel"/>
    <w:tmpl w:val="A7B0BD7E"/>
    <w:lvl w:ilvl="0" w:tplc="CF161E8E">
      <w:numFmt w:val="bullet"/>
      <w:lvlText w:val="-"/>
      <w:lvlJc w:val="left"/>
      <w:pPr>
        <w:ind w:left="30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10">
    <w:nsid w:val="7D822E82"/>
    <w:multiLevelType w:val="hybridMultilevel"/>
    <w:tmpl w:val="2558F9BE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2"/>
  </w:num>
  <w:num w:numId="5">
    <w:abstractNumId w:val="3"/>
  </w:num>
  <w:num w:numId="6">
    <w:abstractNumId w:val="10"/>
  </w:num>
  <w:num w:numId="7">
    <w:abstractNumId w:val="7"/>
  </w:num>
  <w:num w:numId="8">
    <w:abstractNumId w:val="1"/>
  </w:num>
  <w:num w:numId="9">
    <w:abstractNumId w:val="0"/>
  </w:num>
  <w:num w:numId="10">
    <w:abstractNumId w:val="8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218"/>
    <w:rsid w:val="00003FF0"/>
    <w:rsid w:val="00012DDD"/>
    <w:rsid w:val="00017DD8"/>
    <w:rsid w:val="00024EA0"/>
    <w:rsid w:val="00060774"/>
    <w:rsid w:val="00061095"/>
    <w:rsid w:val="00064FD6"/>
    <w:rsid w:val="00097EE4"/>
    <w:rsid w:val="000B0DD1"/>
    <w:rsid w:val="000B1552"/>
    <w:rsid w:val="000B6C14"/>
    <w:rsid w:val="000C5D48"/>
    <w:rsid w:val="000D7544"/>
    <w:rsid w:val="000D77D6"/>
    <w:rsid w:val="000D792E"/>
    <w:rsid w:val="00102EC2"/>
    <w:rsid w:val="00123D00"/>
    <w:rsid w:val="00162970"/>
    <w:rsid w:val="00166271"/>
    <w:rsid w:val="001671AF"/>
    <w:rsid w:val="00181119"/>
    <w:rsid w:val="001A6622"/>
    <w:rsid w:val="001C7F1F"/>
    <w:rsid w:val="001D166A"/>
    <w:rsid w:val="001E1D4D"/>
    <w:rsid w:val="00204959"/>
    <w:rsid w:val="00246AEC"/>
    <w:rsid w:val="00277F0A"/>
    <w:rsid w:val="0028521C"/>
    <w:rsid w:val="002A552D"/>
    <w:rsid w:val="002D174B"/>
    <w:rsid w:val="002D2B5C"/>
    <w:rsid w:val="002D2C24"/>
    <w:rsid w:val="002D52C0"/>
    <w:rsid w:val="003177B5"/>
    <w:rsid w:val="00352AB6"/>
    <w:rsid w:val="00353662"/>
    <w:rsid w:val="00370DA1"/>
    <w:rsid w:val="003C51D1"/>
    <w:rsid w:val="003C555E"/>
    <w:rsid w:val="003D385F"/>
    <w:rsid w:val="003D5022"/>
    <w:rsid w:val="003E48B9"/>
    <w:rsid w:val="00420D4E"/>
    <w:rsid w:val="004365F9"/>
    <w:rsid w:val="004764D4"/>
    <w:rsid w:val="004819DE"/>
    <w:rsid w:val="00487C83"/>
    <w:rsid w:val="00497C3A"/>
    <w:rsid w:val="004A5E05"/>
    <w:rsid w:val="004B4E81"/>
    <w:rsid w:val="004D31B5"/>
    <w:rsid w:val="004D3555"/>
    <w:rsid w:val="004E38AA"/>
    <w:rsid w:val="00512A54"/>
    <w:rsid w:val="00550EE4"/>
    <w:rsid w:val="005775F9"/>
    <w:rsid w:val="005B4704"/>
    <w:rsid w:val="005B5D36"/>
    <w:rsid w:val="006123E2"/>
    <w:rsid w:val="00616174"/>
    <w:rsid w:val="006567AA"/>
    <w:rsid w:val="006642A8"/>
    <w:rsid w:val="006823FA"/>
    <w:rsid w:val="00682AAB"/>
    <w:rsid w:val="0069697A"/>
    <w:rsid w:val="006B66C1"/>
    <w:rsid w:val="006E1ECE"/>
    <w:rsid w:val="006F1E6A"/>
    <w:rsid w:val="00706218"/>
    <w:rsid w:val="007075F4"/>
    <w:rsid w:val="007418AA"/>
    <w:rsid w:val="007524CE"/>
    <w:rsid w:val="00752ABF"/>
    <w:rsid w:val="00753CFB"/>
    <w:rsid w:val="007546A6"/>
    <w:rsid w:val="00755BFF"/>
    <w:rsid w:val="007B11E9"/>
    <w:rsid w:val="007B6A96"/>
    <w:rsid w:val="007E5C55"/>
    <w:rsid w:val="007F15F5"/>
    <w:rsid w:val="00807C32"/>
    <w:rsid w:val="00855F17"/>
    <w:rsid w:val="008613FD"/>
    <w:rsid w:val="00866705"/>
    <w:rsid w:val="00886B73"/>
    <w:rsid w:val="00897F67"/>
    <w:rsid w:val="008A26C1"/>
    <w:rsid w:val="008E1F4B"/>
    <w:rsid w:val="008E617F"/>
    <w:rsid w:val="008F43B4"/>
    <w:rsid w:val="009038C8"/>
    <w:rsid w:val="00903DF1"/>
    <w:rsid w:val="00922E3B"/>
    <w:rsid w:val="00947A05"/>
    <w:rsid w:val="009623FE"/>
    <w:rsid w:val="009718F9"/>
    <w:rsid w:val="00990EC0"/>
    <w:rsid w:val="009A7535"/>
    <w:rsid w:val="009B3DC3"/>
    <w:rsid w:val="009C6445"/>
    <w:rsid w:val="00A12538"/>
    <w:rsid w:val="00A134EE"/>
    <w:rsid w:val="00A45F17"/>
    <w:rsid w:val="00A614CB"/>
    <w:rsid w:val="00A61A5A"/>
    <w:rsid w:val="00AB3D99"/>
    <w:rsid w:val="00AD641F"/>
    <w:rsid w:val="00AD6B60"/>
    <w:rsid w:val="00B226AF"/>
    <w:rsid w:val="00B334E2"/>
    <w:rsid w:val="00B41CCC"/>
    <w:rsid w:val="00B520FA"/>
    <w:rsid w:val="00B54F1E"/>
    <w:rsid w:val="00B82D94"/>
    <w:rsid w:val="00B86D07"/>
    <w:rsid w:val="00B962D3"/>
    <w:rsid w:val="00BA0FB3"/>
    <w:rsid w:val="00BB1EA3"/>
    <w:rsid w:val="00BC19DE"/>
    <w:rsid w:val="00C1064C"/>
    <w:rsid w:val="00C156D1"/>
    <w:rsid w:val="00C62093"/>
    <w:rsid w:val="00C840B8"/>
    <w:rsid w:val="00CB1B55"/>
    <w:rsid w:val="00CB4D98"/>
    <w:rsid w:val="00CC1330"/>
    <w:rsid w:val="00CE4FD7"/>
    <w:rsid w:val="00CF7E2D"/>
    <w:rsid w:val="00D02382"/>
    <w:rsid w:val="00D20466"/>
    <w:rsid w:val="00D66C3E"/>
    <w:rsid w:val="00D75AC1"/>
    <w:rsid w:val="00D830CE"/>
    <w:rsid w:val="00DB21E6"/>
    <w:rsid w:val="00DB6992"/>
    <w:rsid w:val="00DD2CFA"/>
    <w:rsid w:val="00DE00C3"/>
    <w:rsid w:val="00E05EFB"/>
    <w:rsid w:val="00E44E27"/>
    <w:rsid w:val="00E51D0B"/>
    <w:rsid w:val="00E9490A"/>
    <w:rsid w:val="00E9506F"/>
    <w:rsid w:val="00EA0342"/>
    <w:rsid w:val="00F0333F"/>
    <w:rsid w:val="00F24AD4"/>
    <w:rsid w:val="00F3321D"/>
    <w:rsid w:val="00F6339C"/>
    <w:rsid w:val="00F6466B"/>
    <w:rsid w:val="00F6576A"/>
    <w:rsid w:val="00F8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21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56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6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271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D77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77D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D77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77D6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246AE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6AEC"/>
    <w:pPr>
      <w:spacing w:after="0" w:line="240" w:lineRule="auto"/>
    </w:pPr>
    <w:rPr>
      <w:rFonts w:ascii="Arial" w:eastAsia="Times New Roman" w:hAnsi="Arial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246AEC"/>
    <w:rPr>
      <w:rFonts w:ascii="Arial" w:eastAsia="Times New Roman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21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56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6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271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D77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77D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D77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77D6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246AE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6AEC"/>
    <w:pPr>
      <w:spacing w:after="0" w:line="240" w:lineRule="auto"/>
    </w:pPr>
    <w:rPr>
      <w:rFonts w:ascii="Arial" w:eastAsia="Times New Roman" w:hAnsi="Arial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246AEC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F7C02-0E21-4E5B-AD8C-FAFB5AC7B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Dimitrina Nikolova</dc:creator>
  <cp:lastModifiedBy>AngelchevaT</cp:lastModifiedBy>
  <cp:revision>2</cp:revision>
  <dcterms:created xsi:type="dcterms:W3CDTF">2017-10-24T07:37:00Z</dcterms:created>
  <dcterms:modified xsi:type="dcterms:W3CDTF">2017-10-24T07:37:00Z</dcterms:modified>
</cp:coreProperties>
</file>